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0D8B7" w14:textId="46341D5C" w:rsidR="001E7201" w:rsidRPr="00381F95" w:rsidRDefault="001E7201" w:rsidP="001E720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381F95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381F95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381F95">
        <w:rPr>
          <w:rFonts w:ascii="Arial" w:eastAsia="SimSun" w:hAnsi="Arial" w:cs="Times New Roman"/>
          <w:b/>
          <w:sz w:val="24"/>
          <w:szCs w:val="20"/>
        </w:rPr>
        <w:t>WG4 Meeting #110</w:t>
      </w:r>
      <w:r w:rsidRPr="00381F95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475856" w:rsidRPr="0047585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R4-2402385</w:t>
      </w:r>
    </w:p>
    <w:p w14:paraId="20D69350" w14:textId="77777777" w:rsidR="001E7201" w:rsidRPr="00381F95" w:rsidRDefault="001E7201" w:rsidP="001E720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381F95">
        <w:rPr>
          <w:rFonts w:ascii="Arial" w:eastAsia="SimSun" w:hAnsi="Arial" w:cs="Times New Roman"/>
          <w:b/>
          <w:sz w:val="24"/>
          <w:szCs w:val="20"/>
        </w:rPr>
        <w:t xml:space="preserve">Athens, Greece, February 19 – March </w:t>
      </w:r>
      <w:r>
        <w:rPr>
          <w:rFonts w:ascii="Arial" w:eastAsia="SimSun" w:hAnsi="Arial" w:cs="Times New Roman"/>
          <w:b/>
          <w:sz w:val="24"/>
          <w:szCs w:val="20"/>
        </w:rPr>
        <w:t>0</w:t>
      </w:r>
      <w:r w:rsidRPr="00381F95">
        <w:rPr>
          <w:rFonts w:ascii="Arial" w:eastAsia="SimSun" w:hAnsi="Arial" w:cs="Times New Roman"/>
          <w:b/>
          <w:sz w:val="24"/>
          <w:szCs w:val="20"/>
        </w:rPr>
        <w:t>1, 2024</w:t>
      </w:r>
    </w:p>
    <w:bookmarkEnd w:id="0"/>
    <w:bookmarkEnd w:id="1"/>
    <w:p w14:paraId="2D160778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1294469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732445D" w14:textId="2A6AD580" w:rsidR="00841BCD" w:rsidRPr="00D03BD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D03BD3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D03BD3">
        <w:rPr>
          <w:rFonts w:ascii="Arial" w:eastAsia="Calibri" w:hAnsi="Arial" w:cs="Arial"/>
          <w:b/>
          <w:bCs/>
          <w:sz w:val="24"/>
          <w:lang w:val="en-GB"/>
        </w:rPr>
        <w:tab/>
      </w:r>
      <w:r w:rsidR="00275C92" w:rsidRPr="00275C92">
        <w:rPr>
          <w:rFonts w:ascii="Arial" w:eastAsia="Calibri" w:hAnsi="Arial" w:cs="Arial"/>
          <w:b/>
          <w:bCs/>
          <w:sz w:val="24"/>
          <w:lang w:val="en-GB"/>
        </w:rPr>
        <w:t>Test cases scope and configuration for NTN enhancements</w:t>
      </w:r>
    </w:p>
    <w:p w14:paraId="0E7583EC" w14:textId="78E59081" w:rsidR="00841BCD" w:rsidRPr="00D03BD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pt-BR"/>
        </w:rPr>
      </w:pPr>
      <w:r w:rsidRPr="00D03BD3">
        <w:rPr>
          <w:rFonts w:ascii="Arial" w:eastAsia="MS Mincho" w:hAnsi="Arial" w:cs="Arial"/>
          <w:b/>
          <w:bCs/>
          <w:sz w:val="24"/>
          <w:szCs w:val="20"/>
          <w:lang w:val="pt-BR"/>
        </w:rPr>
        <w:t>Agenda item:</w:t>
      </w:r>
      <w:r w:rsidRPr="00D03BD3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3B6A49">
        <w:rPr>
          <w:rFonts w:ascii="Arial" w:eastAsia="MS Mincho" w:hAnsi="Arial" w:cs="Arial"/>
          <w:b/>
          <w:bCs/>
          <w:sz w:val="24"/>
          <w:szCs w:val="20"/>
          <w:lang w:val="pt-BR"/>
        </w:rPr>
        <w:t>8</w:t>
      </w:r>
      <w:r w:rsidR="00E87EA0">
        <w:rPr>
          <w:rFonts w:ascii="Arial" w:eastAsia="MS Mincho" w:hAnsi="Arial" w:cs="Arial"/>
          <w:b/>
          <w:bCs/>
          <w:sz w:val="24"/>
          <w:szCs w:val="20"/>
          <w:lang w:val="pt-BR"/>
        </w:rPr>
        <w:t>.</w:t>
      </w:r>
      <w:r w:rsidR="001E7201">
        <w:rPr>
          <w:rFonts w:ascii="Arial" w:eastAsia="MS Mincho" w:hAnsi="Arial" w:cs="Arial"/>
          <w:b/>
          <w:bCs/>
          <w:sz w:val="24"/>
          <w:szCs w:val="20"/>
          <w:lang w:val="pt-BR"/>
        </w:rPr>
        <w:t>18</w:t>
      </w:r>
      <w:r w:rsidR="00E87EA0">
        <w:rPr>
          <w:rFonts w:ascii="Arial" w:eastAsia="MS Mincho" w:hAnsi="Arial" w:cs="Arial"/>
          <w:b/>
          <w:bCs/>
          <w:sz w:val="24"/>
          <w:szCs w:val="20"/>
          <w:lang w:val="pt-BR"/>
        </w:rPr>
        <w:t>.</w:t>
      </w:r>
      <w:r w:rsidR="008D1814">
        <w:rPr>
          <w:rFonts w:ascii="Arial" w:eastAsia="MS Mincho" w:hAnsi="Arial" w:cs="Arial"/>
          <w:b/>
          <w:bCs/>
          <w:sz w:val="24"/>
          <w:szCs w:val="20"/>
          <w:lang w:val="pt-BR"/>
        </w:rPr>
        <w:t>7</w:t>
      </w:r>
    </w:p>
    <w:p w14:paraId="4D52A9EF" w14:textId="77777777" w:rsidR="00D66188" w:rsidRPr="00ED178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  <w:proofErr w:type="spellStart"/>
      <w:r w:rsidRPr="00ED1787">
        <w:rPr>
          <w:rFonts w:ascii="Arial" w:eastAsia="Calibri" w:hAnsi="Arial" w:cs="Arial"/>
          <w:b/>
          <w:bCs/>
          <w:sz w:val="24"/>
          <w:lang w:val="pt-BR"/>
        </w:rPr>
        <w:t>Document</w:t>
      </w:r>
      <w:proofErr w:type="spellEnd"/>
      <w:r w:rsidRPr="00ED1787">
        <w:rPr>
          <w:rFonts w:ascii="Arial" w:eastAsia="Calibri" w:hAnsi="Arial" w:cs="Arial"/>
          <w:b/>
          <w:bCs/>
          <w:sz w:val="24"/>
          <w:lang w:val="pt-BR"/>
        </w:rPr>
        <w:t xml:space="preserve"> for:</w:t>
      </w:r>
      <w:r w:rsidRPr="00ED1787">
        <w:rPr>
          <w:rFonts w:ascii="Arial" w:eastAsia="Calibri" w:hAnsi="Arial" w:cs="Arial"/>
          <w:b/>
          <w:bCs/>
          <w:sz w:val="24"/>
          <w:lang w:val="pt-BR"/>
        </w:rPr>
        <w:tab/>
      </w:r>
      <w:proofErr w:type="spellStart"/>
      <w:r w:rsidR="00AE6D09" w:rsidRPr="00ED1787">
        <w:rPr>
          <w:rFonts w:ascii="Arial" w:eastAsia="Calibri" w:hAnsi="Arial" w:cs="Arial"/>
          <w:b/>
          <w:bCs/>
          <w:sz w:val="24"/>
          <w:lang w:val="pt-BR"/>
        </w:rPr>
        <w:t>Discussion</w:t>
      </w:r>
      <w:proofErr w:type="spellEnd"/>
    </w:p>
    <w:p w14:paraId="774E0E50" w14:textId="77777777" w:rsidR="00E323E9" w:rsidRPr="00ED178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</w:p>
    <w:p w14:paraId="088800C3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7E445C95" w14:textId="77777777" w:rsidR="001E7201" w:rsidRDefault="001C0296" w:rsidP="001E7201">
      <w:r w:rsidRPr="00C75CEB">
        <w:t>The NTN WI</w:t>
      </w:r>
      <w:r>
        <w:t>,</w:t>
      </w:r>
      <w:r w:rsidRPr="00C75CEB">
        <w:t xml:space="preserve"> </w:t>
      </w:r>
      <w:r>
        <w:t>as</w:t>
      </w:r>
      <w:r w:rsidRPr="00C75CEB">
        <w:t xml:space="preserve"> presented in [1], </w:t>
      </w:r>
      <w:r>
        <w:t>includes the following o</w:t>
      </w:r>
      <w:r w:rsidRPr="00C75CEB">
        <w:t xml:space="preserve">bjectives </w:t>
      </w:r>
      <w:r>
        <w:t xml:space="preserve">related to NTN </w:t>
      </w:r>
      <w:r w:rsidR="001E7201">
        <w:t>enhancements, which includes:</w:t>
      </w:r>
    </w:p>
    <w:p w14:paraId="3F85F141" w14:textId="0B635F1C" w:rsidR="001C0296" w:rsidRDefault="001C0296" w:rsidP="001E7201">
      <w:pPr>
        <w:pStyle w:val="ListParagraph"/>
        <w:numPr>
          <w:ilvl w:val="0"/>
          <w:numId w:val="39"/>
        </w:numPr>
      </w:pPr>
      <w:r>
        <w:t>deployment in above 10GHz bands</w:t>
      </w:r>
    </w:p>
    <w:p w14:paraId="12400695" w14:textId="55095FD0" w:rsidR="001E7201" w:rsidRDefault="001E7201" w:rsidP="001E7201">
      <w:pPr>
        <w:pStyle w:val="ListParagraph"/>
        <w:numPr>
          <w:ilvl w:val="1"/>
          <w:numId w:val="39"/>
        </w:numPr>
      </w:pPr>
      <w:proofErr w:type="gramStart"/>
      <w:r>
        <w:t>electronically-steered</w:t>
      </w:r>
      <w:proofErr w:type="gramEnd"/>
      <w:r>
        <w:t xml:space="preserve"> beams</w:t>
      </w:r>
    </w:p>
    <w:p w14:paraId="12BE4FF2" w14:textId="38499EE3" w:rsidR="001E7201" w:rsidRDefault="001E7201" w:rsidP="001E7201">
      <w:pPr>
        <w:pStyle w:val="ListParagraph"/>
        <w:numPr>
          <w:ilvl w:val="1"/>
          <w:numId w:val="39"/>
        </w:numPr>
      </w:pPr>
      <w:proofErr w:type="gramStart"/>
      <w:r>
        <w:t>mechanically-steered</w:t>
      </w:r>
      <w:proofErr w:type="gramEnd"/>
      <w:r>
        <w:t xml:space="preserve"> beams</w:t>
      </w:r>
    </w:p>
    <w:p w14:paraId="31541BF4" w14:textId="3FEE8D1F" w:rsidR="001E7201" w:rsidRDefault="001E7201" w:rsidP="001E7201">
      <w:pPr>
        <w:pStyle w:val="ListParagraph"/>
        <w:numPr>
          <w:ilvl w:val="0"/>
          <w:numId w:val="39"/>
        </w:numPr>
      </w:pPr>
      <w:r>
        <w:t xml:space="preserve">verified UE </w:t>
      </w:r>
      <w:proofErr w:type="gramStart"/>
      <w:r>
        <w:t>location</w:t>
      </w:r>
      <w:proofErr w:type="gramEnd"/>
    </w:p>
    <w:p w14:paraId="0EA2987D" w14:textId="5A709599" w:rsidR="001E7201" w:rsidRPr="008C39F7" w:rsidRDefault="001E7201" w:rsidP="001E7201">
      <w:pPr>
        <w:pStyle w:val="ListParagraph"/>
        <w:numPr>
          <w:ilvl w:val="0"/>
          <w:numId w:val="39"/>
        </w:numPr>
      </w:pPr>
      <w:r>
        <w:t>Mobility enhancements (RACH-less HO and satellite switching with re-sync)</w:t>
      </w:r>
    </w:p>
    <w:p w14:paraId="08E28A22" w14:textId="49FAFEA4" w:rsidR="0060543D" w:rsidRDefault="001E7201" w:rsidP="005C23A4">
      <w:r>
        <w:t xml:space="preserve">In the present discussion we provide our views for the test configuration and the scope of the test cases for this WI. </w:t>
      </w:r>
    </w:p>
    <w:p w14:paraId="697B3890" w14:textId="77777777" w:rsidR="001E7201" w:rsidRPr="008C39F7" w:rsidRDefault="001E7201" w:rsidP="005C23A4"/>
    <w:p w14:paraId="24BEB3B1" w14:textId="6C953B0D" w:rsidR="00684861" w:rsidRDefault="003B659E" w:rsidP="00684861">
      <w:pPr>
        <w:pStyle w:val="RAN4H1"/>
      </w:pPr>
      <w:bookmarkStart w:id="4" w:name="_Toc116995842"/>
      <w:r w:rsidRPr="008C39F7">
        <w:t>Discussion</w:t>
      </w:r>
      <w:bookmarkEnd w:id="4"/>
    </w:p>
    <w:p w14:paraId="7FDE75F3" w14:textId="0ED5377F" w:rsidR="00072FC3" w:rsidRDefault="00072FC3" w:rsidP="00072FC3">
      <w:pPr>
        <w:pStyle w:val="RAN4H2"/>
      </w:pPr>
      <w:r>
        <w:t>On the scope of test cases</w:t>
      </w:r>
      <w:r w:rsidR="002A0075">
        <w:t xml:space="preserve"> for Operation Above 10 GHz</w:t>
      </w:r>
    </w:p>
    <w:p w14:paraId="75512F52" w14:textId="08E87697" w:rsidR="0060543D" w:rsidRDefault="00072FC3" w:rsidP="00300956">
      <w:r>
        <w:t>Recently, RAN has tasked RAN4 to create requirements for two different types of UEs in the operation above 10 GHz: electronically steered (Type 1) and mechanically steered  beams (Type 2). It is our understanding that for mechanically steered beams only the following requirements will be specified:</w:t>
      </w:r>
    </w:p>
    <w:p w14:paraId="74372D6A" w14:textId="77777777" w:rsidR="00072FC3" w:rsidRDefault="00072FC3" w:rsidP="00072FC3">
      <w:pPr>
        <w:pStyle w:val="ListParagraph"/>
        <w:numPr>
          <w:ilvl w:val="0"/>
          <w:numId w:val="38"/>
        </w:numPr>
        <w:jc w:val="both"/>
      </w:pPr>
      <w:r>
        <w:t>(Conditional/Blind) HO</w:t>
      </w:r>
    </w:p>
    <w:p w14:paraId="03D6441B" w14:textId="77777777" w:rsidR="00072FC3" w:rsidRDefault="00072FC3" w:rsidP="00072FC3">
      <w:pPr>
        <w:pStyle w:val="ListParagraph"/>
        <w:numPr>
          <w:ilvl w:val="0"/>
          <w:numId w:val="38"/>
        </w:numPr>
        <w:jc w:val="both"/>
      </w:pPr>
      <w:r>
        <w:t>RLM</w:t>
      </w:r>
    </w:p>
    <w:p w14:paraId="5CBA0065" w14:textId="77777777" w:rsidR="00072FC3" w:rsidRDefault="00072FC3" w:rsidP="00072FC3">
      <w:pPr>
        <w:pStyle w:val="ListParagraph"/>
        <w:numPr>
          <w:ilvl w:val="0"/>
          <w:numId w:val="38"/>
        </w:numPr>
        <w:jc w:val="both"/>
      </w:pPr>
      <w:r>
        <w:t>UE uplink timing accuracy</w:t>
      </w:r>
    </w:p>
    <w:p w14:paraId="656DB1B5" w14:textId="77777777" w:rsidR="00072FC3" w:rsidRDefault="00072FC3" w:rsidP="00300956"/>
    <w:p w14:paraId="7EFC7C36" w14:textId="510AD08E" w:rsidR="00072FC3" w:rsidRDefault="00072FC3" w:rsidP="00300956">
      <w:r>
        <w:t xml:space="preserve">For UL timing accuracy test case, we don’t see any potential difference in requirements or in the applicability of the test case between a Type 1 and a Type 2 UE. Blind HO requirements and RLM requirements are different between Type 1 and Type 2 UE, but the general procedure seems to be the same, with the overall test duration varying depending on the UE capability of performing beam sweeping. </w:t>
      </w:r>
    </w:p>
    <w:p w14:paraId="55AFC62C" w14:textId="5F148C78" w:rsidR="00072FC3" w:rsidRDefault="00A1503B" w:rsidP="00A1503B">
      <w:pPr>
        <w:pStyle w:val="RAN4proposal"/>
      </w:pPr>
      <w:bookmarkStart w:id="5" w:name="_Toc159273215"/>
      <w:r>
        <w:t>For Type 2 UEs only consider test cases for UE UL timing accuracy, RLM and Blind HO. UL timing accuracy test case is the same for both Type 1 and Type 2 UE.</w:t>
      </w:r>
      <w:bookmarkEnd w:id="5"/>
      <w:r>
        <w:t xml:space="preserve"> </w:t>
      </w:r>
    </w:p>
    <w:p w14:paraId="198CC20A" w14:textId="77777777" w:rsidR="00A1503B" w:rsidRDefault="00A1503B" w:rsidP="00A1503B">
      <w:pPr>
        <w:pStyle w:val="RAN4proposal"/>
        <w:numPr>
          <w:ilvl w:val="1"/>
          <w:numId w:val="7"/>
        </w:numPr>
      </w:pPr>
      <w:bookmarkStart w:id="6" w:name="_Toc159273216"/>
      <w:r>
        <w:t xml:space="preserve">FFS whether the same test cases can be used for Type 2 and Type 1 UEs for RLM and Blind HO with adaptation of the test parameters (e.g. test duration, interruption time, </w:t>
      </w:r>
      <w:proofErr w:type="spellStart"/>
      <w:r>
        <w:t>etc</w:t>
      </w:r>
      <w:proofErr w:type="spellEnd"/>
      <w:r>
        <w:t>).</w:t>
      </w:r>
      <w:bookmarkEnd w:id="6"/>
    </w:p>
    <w:p w14:paraId="44E2CD53" w14:textId="10754C4F" w:rsidR="00A1503B" w:rsidRDefault="00A1503B" w:rsidP="00A1503B">
      <w:r>
        <w:t xml:space="preserve">For Type 1 UEs the list of test cases is slightly higher, based on the scope of the task RAN has assigned RAN4. </w:t>
      </w:r>
    </w:p>
    <w:p w14:paraId="0F982301" w14:textId="04DBDB1F" w:rsidR="00A1503B" w:rsidRDefault="00A1503B" w:rsidP="00A1503B">
      <w:pPr>
        <w:pStyle w:val="RAN4proposal"/>
      </w:pPr>
      <w:bookmarkStart w:id="7" w:name="_Toc159273217"/>
      <w:r>
        <w:t xml:space="preserve">For Type 1 UE consider test cases for : UE UL timing accuracy, RLM, </w:t>
      </w:r>
      <w:r w:rsidR="007F2916">
        <w:t>C</w:t>
      </w:r>
      <w:r>
        <w:t>HO,</w:t>
      </w:r>
      <w:r w:rsidR="007F2916">
        <w:t xml:space="preserve"> HO and Measurement Procedures</w:t>
      </w:r>
      <w:bookmarkEnd w:id="7"/>
      <w:r>
        <w:t xml:space="preserve"> </w:t>
      </w:r>
    </w:p>
    <w:p w14:paraId="7876FBCD" w14:textId="515CC8F7" w:rsidR="00A1503B" w:rsidRDefault="007F2916" w:rsidP="00A1503B">
      <w:r>
        <w:lastRenderedPageBreak/>
        <w:t xml:space="preserve">There are several very important features added in this WI whose behavior are not like any other features previously implemented in Rel-17. Some of them implement requirements that cannot be verified or ensured based on legacy test cases, it would be fruitful to add test cases for </w:t>
      </w:r>
      <w:proofErr w:type="gramStart"/>
      <w:r>
        <w:t>this features</w:t>
      </w:r>
      <w:proofErr w:type="gramEnd"/>
      <w:r>
        <w:t xml:space="preserve">. </w:t>
      </w:r>
    </w:p>
    <w:p w14:paraId="7F2FA572" w14:textId="076262E8" w:rsidR="007F2916" w:rsidRDefault="008D1814" w:rsidP="007F2916">
      <w:pPr>
        <w:pStyle w:val="RAN4proposal"/>
      </w:pPr>
      <w:bookmarkStart w:id="8" w:name="_Toc159273218"/>
      <w:r>
        <w:t xml:space="preserve">For FR1 objectives RAN4 to introduce test cases at least for the following </w:t>
      </w:r>
      <w:proofErr w:type="spellStart"/>
      <w:r>
        <w:t>feathres</w:t>
      </w:r>
      <w:proofErr w:type="spellEnd"/>
      <w:r>
        <w:t>:</w:t>
      </w:r>
      <w:bookmarkEnd w:id="8"/>
    </w:p>
    <w:p w14:paraId="11C826E1" w14:textId="2D4F2B80" w:rsidR="008D1814" w:rsidRDefault="008D1814" w:rsidP="008D1814">
      <w:pPr>
        <w:pStyle w:val="RAN4proposal"/>
        <w:numPr>
          <w:ilvl w:val="1"/>
          <w:numId w:val="7"/>
        </w:numPr>
      </w:pPr>
      <w:bookmarkStart w:id="9" w:name="_Toc159273219"/>
      <w:r>
        <w:t>RACH-less HO</w:t>
      </w:r>
      <w:bookmarkEnd w:id="9"/>
    </w:p>
    <w:p w14:paraId="42784C21" w14:textId="77777777" w:rsidR="008D1814" w:rsidRPr="008D1814" w:rsidRDefault="008D1814" w:rsidP="004E18C0">
      <w:pPr>
        <w:pStyle w:val="RAN4proposal"/>
        <w:numPr>
          <w:ilvl w:val="1"/>
          <w:numId w:val="7"/>
        </w:numPr>
      </w:pPr>
      <w:bookmarkStart w:id="10" w:name="_Toc159273220"/>
      <w:r w:rsidRPr="008D1814">
        <w:t xml:space="preserve">Satellite Switching without PCI </w:t>
      </w:r>
      <w:proofErr w:type="gramStart"/>
      <w:r w:rsidRPr="008D1814">
        <w:t>change</w:t>
      </w:r>
      <w:bookmarkEnd w:id="10"/>
      <w:proofErr w:type="gramEnd"/>
    </w:p>
    <w:p w14:paraId="5A082413" w14:textId="77777777" w:rsidR="008D1814" w:rsidRDefault="008D1814" w:rsidP="008D1814">
      <w:pPr>
        <w:pStyle w:val="RAN4proposal"/>
        <w:numPr>
          <w:ilvl w:val="1"/>
          <w:numId w:val="7"/>
        </w:numPr>
      </w:pPr>
      <w:bookmarkStart w:id="11" w:name="_Toc159273221"/>
      <w:r>
        <w:t>NTN to TN Cell reselection</w:t>
      </w:r>
      <w:bookmarkEnd w:id="11"/>
    </w:p>
    <w:p w14:paraId="055CDBE0" w14:textId="77777777" w:rsidR="008D1814" w:rsidRDefault="008D1814" w:rsidP="008D1814">
      <w:pPr>
        <w:pStyle w:val="RAN4proposal"/>
        <w:numPr>
          <w:ilvl w:val="1"/>
          <w:numId w:val="7"/>
        </w:numPr>
      </w:pPr>
      <w:bookmarkStart w:id="12" w:name="_Toc159273222"/>
      <w:r>
        <w:t>Measurement Initiation triggers for Earth Moving Cells</w:t>
      </w:r>
      <w:bookmarkEnd w:id="12"/>
    </w:p>
    <w:p w14:paraId="4F5C22BA" w14:textId="77777777" w:rsidR="008D1814" w:rsidRPr="008D1814" w:rsidRDefault="008D1814" w:rsidP="008D1814">
      <w:pPr>
        <w:pStyle w:val="RAN4proposal"/>
        <w:numPr>
          <w:ilvl w:val="0"/>
          <w:numId w:val="0"/>
        </w:numPr>
        <w:ind w:left="1080"/>
      </w:pPr>
    </w:p>
    <w:p w14:paraId="5380320D" w14:textId="466024B3" w:rsidR="00A1503B" w:rsidRPr="00A1503B" w:rsidRDefault="00A1503B" w:rsidP="00A1503B">
      <w:pPr>
        <w:pStyle w:val="RAN4proposal"/>
        <w:numPr>
          <w:ilvl w:val="0"/>
          <w:numId w:val="0"/>
        </w:numPr>
      </w:pPr>
      <w:r>
        <w:t xml:space="preserve"> </w:t>
      </w:r>
    </w:p>
    <w:p w14:paraId="3BC0534D" w14:textId="706BD3D6" w:rsidR="002A0075" w:rsidRDefault="002A0075" w:rsidP="002A0075">
      <w:pPr>
        <w:pStyle w:val="RAN4H2"/>
      </w:pPr>
      <w:r>
        <w:t>On the scope of test cases for Mobility Enhancements</w:t>
      </w:r>
    </w:p>
    <w:p w14:paraId="72E5A2F1" w14:textId="73C2ED1B" w:rsidR="002A0075" w:rsidRDefault="002A0075" w:rsidP="002A0075">
      <w:r>
        <w:t xml:space="preserve">There are two new features introduced in this WI who have not been presented in previous releases neither for TN </w:t>
      </w:r>
      <w:proofErr w:type="gramStart"/>
      <w:r>
        <w:t>or</w:t>
      </w:r>
      <w:proofErr w:type="gramEnd"/>
      <w:r>
        <w:t xml:space="preserve"> NTN in NR. We believe both shall be tested in this current release. Therefore, we propose that:</w:t>
      </w:r>
    </w:p>
    <w:p w14:paraId="153D162C" w14:textId="01AA01D4" w:rsidR="002A0075" w:rsidRDefault="002A0075" w:rsidP="002A0075">
      <w:pPr>
        <w:pStyle w:val="RAN4proposal"/>
      </w:pPr>
      <w:bookmarkStart w:id="13" w:name="_Toc159273223"/>
      <w:r>
        <w:t>For mobility enhancements, include at least test cases for RACH-less HO and Hard Satellite Switch with same PCI.</w:t>
      </w:r>
      <w:bookmarkEnd w:id="13"/>
      <w:r>
        <w:t xml:space="preserve"> </w:t>
      </w:r>
    </w:p>
    <w:p w14:paraId="217AB50A" w14:textId="77777777" w:rsidR="002A0075" w:rsidRPr="002A0075" w:rsidRDefault="002A0075" w:rsidP="002A0075"/>
    <w:p w14:paraId="5DA211B2" w14:textId="77777777" w:rsidR="00072FC3" w:rsidRDefault="00072FC3" w:rsidP="00300956"/>
    <w:p w14:paraId="265F60A9" w14:textId="77777777" w:rsidR="0060543D" w:rsidRPr="008C39F7" w:rsidRDefault="0060543D" w:rsidP="0060543D"/>
    <w:p w14:paraId="340C02BF" w14:textId="77777777" w:rsidR="0060543D" w:rsidRPr="008C39F7" w:rsidRDefault="0060543D" w:rsidP="0060543D"/>
    <w:p w14:paraId="4BD21A93" w14:textId="77777777" w:rsidR="00CD7492" w:rsidRPr="008C39F7" w:rsidRDefault="00CD7492" w:rsidP="00A37002">
      <w:pPr>
        <w:pStyle w:val="RAN4H1"/>
      </w:pPr>
      <w:bookmarkStart w:id="14" w:name="_Toc116995848"/>
      <w:r w:rsidRPr="008C39F7">
        <w:t>Conclusion</w:t>
      </w:r>
      <w:bookmarkEnd w:id="14"/>
    </w:p>
    <w:p w14:paraId="5652544A" w14:textId="1CC8A4AF" w:rsidR="008B0961" w:rsidRDefault="00F35C29" w:rsidP="005C23A4">
      <w:r>
        <w:t xml:space="preserve">In this paper we discussed the operation in NTN for frequencies above 10 GHz. </w:t>
      </w:r>
      <w:r w:rsidR="00D97D04">
        <w:t>Based on our discussion, the following set of observations and proposals was made:</w:t>
      </w:r>
    </w:p>
    <w:p w14:paraId="6C93FD7B" w14:textId="77777777" w:rsidR="00D5270B" w:rsidRPr="008C39F7" w:rsidRDefault="00D5270B" w:rsidP="00936159">
      <w:pPr>
        <w:rPr>
          <w:highlight w:val="yellow"/>
        </w:rPr>
      </w:pPr>
    </w:p>
    <w:bookmarkStart w:id="15" w:name="_Toc116995849"/>
    <w:p w14:paraId="7D6B1410" w14:textId="66DCD81F" w:rsidR="00475856" w:rsidRDefault="00CF0BE2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u w:val="none"/>
          <w:lang w:val="en-GB" w:eastAsia="en-GB"/>
          <w14:ligatures w14:val="standardContextual"/>
        </w:rPr>
      </w:pPr>
      <w:r>
        <w:rPr>
          <w:i/>
          <w:iCs w:val="0"/>
        </w:rPr>
        <w:fldChar w:fldCharType="begin"/>
      </w:r>
      <w:r>
        <w:rPr>
          <w:i/>
          <w:iCs w:val="0"/>
        </w:rPr>
        <w:instrText xml:space="preserve"> TOC \n \h \z \t "RAN4 proposal;1;RAN4 observation;1" </w:instrText>
      </w:r>
      <w:r>
        <w:rPr>
          <w:i/>
          <w:iCs w:val="0"/>
        </w:rPr>
        <w:fldChar w:fldCharType="separate"/>
      </w:r>
      <w:hyperlink w:anchor="_Toc159273215" w:history="1">
        <w:r w:rsidR="00475856" w:rsidRPr="00852519">
          <w:rPr>
            <w:rStyle w:val="Hyperlink"/>
          </w:rPr>
          <w:t>Proposal 1: For Type 2 UEs only consider test cases for UE UL timing accuracy, RLM and Blind HO. UL timing accuracy test case is the same for both Type 1 and Type 2 UE.</w:t>
        </w:r>
      </w:hyperlink>
    </w:p>
    <w:p w14:paraId="0FED95A3" w14:textId="0495BEE8" w:rsidR="00475856" w:rsidRDefault="00475856">
      <w:pPr>
        <w:pStyle w:val="TOC1"/>
        <w:tabs>
          <w:tab w:val="left" w:pos="400"/>
        </w:tabs>
        <w:rPr>
          <w:rFonts w:asciiTheme="minorHAnsi" w:eastAsiaTheme="minorEastAsia" w:hAnsiTheme="minorHAnsi"/>
          <w:b w:val="0"/>
          <w:iCs w:val="0"/>
          <w:kern w:val="2"/>
          <w:sz w:val="22"/>
          <w:u w:val="none"/>
          <w:lang w:val="en-GB" w:eastAsia="en-GB"/>
          <w14:ligatures w14:val="standardContextual"/>
        </w:rPr>
      </w:pPr>
      <w:hyperlink w:anchor="_Toc159273216" w:history="1">
        <w:r w:rsidRPr="00852519">
          <w:rPr>
            <w:rStyle w:val="Hyperlink"/>
          </w:rPr>
          <w:t>a.</w:t>
        </w:r>
        <w:r>
          <w:rPr>
            <w:rFonts w:asciiTheme="minorHAnsi" w:eastAsiaTheme="minorEastAsia" w:hAnsiTheme="minorHAnsi"/>
            <w:b w:val="0"/>
            <w:iCs w:val="0"/>
            <w:kern w:val="2"/>
            <w:sz w:val="22"/>
            <w:u w:val="none"/>
            <w:lang w:val="en-GB" w:eastAsia="en-GB"/>
            <w14:ligatures w14:val="standardContextual"/>
          </w:rPr>
          <w:tab/>
        </w:r>
        <w:r w:rsidRPr="00852519">
          <w:rPr>
            <w:rStyle w:val="Hyperlink"/>
          </w:rPr>
          <w:t>FFS whether the same test cases can be used for Type 2 and Type 1 UEs for RLM and Blind HO with adaptation of the test parameters (e.g. test duration, interruption time, etc).</w:t>
        </w:r>
      </w:hyperlink>
    </w:p>
    <w:p w14:paraId="28925061" w14:textId="727F6F67" w:rsidR="00475856" w:rsidRDefault="00475856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u w:val="none"/>
          <w:lang w:val="en-GB" w:eastAsia="en-GB"/>
          <w14:ligatures w14:val="standardContextual"/>
        </w:rPr>
      </w:pPr>
      <w:hyperlink w:anchor="_Toc159273217" w:history="1">
        <w:r w:rsidRPr="00852519">
          <w:rPr>
            <w:rStyle w:val="Hyperlink"/>
          </w:rPr>
          <w:t>Proposal 2: For Type 1 UE consider test cases for : UE UL timing accuracy, RLM, CHO, HO and Measurement Procedures</w:t>
        </w:r>
      </w:hyperlink>
    </w:p>
    <w:p w14:paraId="10225BA1" w14:textId="74D24F19" w:rsidR="00475856" w:rsidRDefault="00475856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u w:val="none"/>
          <w:lang w:val="en-GB" w:eastAsia="en-GB"/>
          <w14:ligatures w14:val="standardContextual"/>
        </w:rPr>
      </w:pPr>
      <w:hyperlink w:anchor="_Toc159273218" w:history="1">
        <w:r w:rsidRPr="00852519">
          <w:rPr>
            <w:rStyle w:val="Hyperlink"/>
          </w:rPr>
          <w:t>Proposal 3: For FR1 objectives RAN4 to introduce test cases at least for the following feathres:</w:t>
        </w:r>
      </w:hyperlink>
    </w:p>
    <w:p w14:paraId="1121E06B" w14:textId="59426020" w:rsidR="00475856" w:rsidRDefault="00475856">
      <w:pPr>
        <w:pStyle w:val="TOC1"/>
        <w:tabs>
          <w:tab w:val="left" w:pos="400"/>
        </w:tabs>
        <w:rPr>
          <w:rFonts w:asciiTheme="minorHAnsi" w:eastAsiaTheme="minorEastAsia" w:hAnsiTheme="minorHAnsi"/>
          <w:b w:val="0"/>
          <w:iCs w:val="0"/>
          <w:kern w:val="2"/>
          <w:sz w:val="22"/>
          <w:u w:val="none"/>
          <w:lang w:val="en-GB" w:eastAsia="en-GB"/>
          <w14:ligatures w14:val="standardContextual"/>
        </w:rPr>
      </w:pPr>
      <w:hyperlink w:anchor="_Toc159273219" w:history="1">
        <w:r w:rsidRPr="00852519">
          <w:rPr>
            <w:rStyle w:val="Hyperlink"/>
          </w:rPr>
          <w:t>a.</w:t>
        </w:r>
        <w:r>
          <w:rPr>
            <w:rFonts w:asciiTheme="minorHAnsi" w:eastAsiaTheme="minorEastAsia" w:hAnsiTheme="minorHAnsi"/>
            <w:b w:val="0"/>
            <w:iCs w:val="0"/>
            <w:kern w:val="2"/>
            <w:sz w:val="22"/>
            <w:u w:val="none"/>
            <w:lang w:val="en-GB" w:eastAsia="en-GB"/>
            <w14:ligatures w14:val="standardContextual"/>
          </w:rPr>
          <w:tab/>
        </w:r>
        <w:r w:rsidRPr="00852519">
          <w:rPr>
            <w:rStyle w:val="Hyperlink"/>
          </w:rPr>
          <w:t>RACH-less HO</w:t>
        </w:r>
      </w:hyperlink>
    </w:p>
    <w:p w14:paraId="5BAB33CC" w14:textId="498963C9" w:rsidR="00475856" w:rsidRDefault="00475856">
      <w:pPr>
        <w:pStyle w:val="TOC1"/>
        <w:tabs>
          <w:tab w:val="left" w:pos="400"/>
        </w:tabs>
        <w:rPr>
          <w:rFonts w:asciiTheme="minorHAnsi" w:eastAsiaTheme="minorEastAsia" w:hAnsiTheme="minorHAnsi"/>
          <w:b w:val="0"/>
          <w:iCs w:val="0"/>
          <w:kern w:val="2"/>
          <w:sz w:val="22"/>
          <w:u w:val="none"/>
          <w:lang w:val="en-GB" w:eastAsia="en-GB"/>
          <w14:ligatures w14:val="standardContextual"/>
        </w:rPr>
      </w:pPr>
      <w:hyperlink w:anchor="_Toc159273220" w:history="1">
        <w:r w:rsidRPr="00852519">
          <w:rPr>
            <w:rStyle w:val="Hyperlink"/>
          </w:rPr>
          <w:t>b.</w:t>
        </w:r>
        <w:r>
          <w:rPr>
            <w:rFonts w:asciiTheme="minorHAnsi" w:eastAsiaTheme="minorEastAsia" w:hAnsiTheme="minorHAnsi"/>
            <w:b w:val="0"/>
            <w:iCs w:val="0"/>
            <w:kern w:val="2"/>
            <w:sz w:val="22"/>
            <w:u w:val="none"/>
            <w:lang w:val="en-GB" w:eastAsia="en-GB"/>
            <w14:ligatures w14:val="standardContextual"/>
          </w:rPr>
          <w:tab/>
        </w:r>
        <w:r w:rsidRPr="00852519">
          <w:rPr>
            <w:rStyle w:val="Hyperlink"/>
          </w:rPr>
          <w:t>Satellite Switching without PCI change</w:t>
        </w:r>
      </w:hyperlink>
    </w:p>
    <w:p w14:paraId="51EF0B86" w14:textId="60D210A3" w:rsidR="00475856" w:rsidRDefault="00475856">
      <w:pPr>
        <w:pStyle w:val="TOC1"/>
        <w:tabs>
          <w:tab w:val="left" w:pos="400"/>
        </w:tabs>
        <w:rPr>
          <w:rFonts w:asciiTheme="minorHAnsi" w:eastAsiaTheme="minorEastAsia" w:hAnsiTheme="minorHAnsi"/>
          <w:b w:val="0"/>
          <w:iCs w:val="0"/>
          <w:kern w:val="2"/>
          <w:sz w:val="22"/>
          <w:u w:val="none"/>
          <w:lang w:val="en-GB" w:eastAsia="en-GB"/>
          <w14:ligatures w14:val="standardContextual"/>
        </w:rPr>
      </w:pPr>
      <w:hyperlink w:anchor="_Toc159273221" w:history="1">
        <w:r w:rsidRPr="00852519">
          <w:rPr>
            <w:rStyle w:val="Hyperlink"/>
          </w:rPr>
          <w:t>c.</w:t>
        </w:r>
        <w:r>
          <w:rPr>
            <w:rFonts w:asciiTheme="minorHAnsi" w:eastAsiaTheme="minorEastAsia" w:hAnsiTheme="minorHAnsi"/>
            <w:b w:val="0"/>
            <w:iCs w:val="0"/>
            <w:kern w:val="2"/>
            <w:sz w:val="22"/>
            <w:u w:val="none"/>
            <w:lang w:val="en-GB" w:eastAsia="en-GB"/>
            <w14:ligatures w14:val="standardContextual"/>
          </w:rPr>
          <w:tab/>
        </w:r>
        <w:r w:rsidRPr="00852519">
          <w:rPr>
            <w:rStyle w:val="Hyperlink"/>
          </w:rPr>
          <w:t>NTN to TN Cell reselection</w:t>
        </w:r>
      </w:hyperlink>
    </w:p>
    <w:p w14:paraId="5A99FB87" w14:textId="0E8E3B79" w:rsidR="00475856" w:rsidRDefault="00475856">
      <w:pPr>
        <w:pStyle w:val="TOC1"/>
        <w:tabs>
          <w:tab w:val="left" w:pos="400"/>
        </w:tabs>
        <w:rPr>
          <w:rFonts w:asciiTheme="minorHAnsi" w:eastAsiaTheme="minorEastAsia" w:hAnsiTheme="minorHAnsi"/>
          <w:b w:val="0"/>
          <w:iCs w:val="0"/>
          <w:kern w:val="2"/>
          <w:sz w:val="22"/>
          <w:u w:val="none"/>
          <w:lang w:val="en-GB" w:eastAsia="en-GB"/>
          <w14:ligatures w14:val="standardContextual"/>
        </w:rPr>
      </w:pPr>
      <w:hyperlink w:anchor="_Toc159273222" w:history="1">
        <w:r w:rsidRPr="00852519">
          <w:rPr>
            <w:rStyle w:val="Hyperlink"/>
          </w:rPr>
          <w:t>d.</w:t>
        </w:r>
        <w:r>
          <w:rPr>
            <w:rFonts w:asciiTheme="minorHAnsi" w:eastAsiaTheme="minorEastAsia" w:hAnsiTheme="minorHAnsi"/>
            <w:b w:val="0"/>
            <w:iCs w:val="0"/>
            <w:kern w:val="2"/>
            <w:sz w:val="22"/>
            <w:u w:val="none"/>
            <w:lang w:val="en-GB" w:eastAsia="en-GB"/>
            <w14:ligatures w14:val="standardContextual"/>
          </w:rPr>
          <w:tab/>
        </w:r>
        <w:r w:rsidRPr="00852519">
          <w:rPr>
            <w:rStyle w:val="Hyperlink"/>
          </w:rPr>
          <w:t>Measurement Initiation triggers for Earth Moving Cells</w:t>
        </w:r>
      </w:hyperlink>
    </w:p>
    <w:p w14:paraId="605360CD" w14:textId="7C60F10C" w:rsidR="00475856" w:rsidRDefault="00475856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u w:val="none"/>
          <w:lang w:val="en-GB" w:eastAsia="en-GB"/>
          <w14:ligatures w14:val="standardContextual"/>
        </w:rPr>
      </w:pPr>
      <w:hyperlink w:anchor="_Toc159273223" w:history="1">
        <w:r w:rsidRPr="00852519">
          <w:rPr>
            <w:rStyle w:val="Hyperlink"/>
          </w:rPr>
          <w:t>Proposal 4: For mobility enhancements, include at least test cases for RACH-less HO and Hard Satellite Switch with same PCI.</w:t>
        </w:r>
      </w:hyperlink>
    </w:p>
    <w:p w14:paraId="7BECF8AD" w14:textId="79B594DA" w:rsidR="00847264" w:rsidRPr="008C39F7" w:rsidRDefault="00CF0BE2" w:rsidP="008C39F7">
      <w:r>
        <w:rPr>
          <w:i/>
          <w:iCs/>
          <w:u w:val="single"/>
        </w:rPr>
        <w:fldChar w:fldCharType="end"/>
      </w:r>
    </w:p>
    <w:p w14:paraId="4D0D074C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lastRenderedPageBreak/>
        <w:t>References</w:t>
      </w:r>
      <w:bookmarkEnd w:id="15"/>
    </w:p>
    <w:p w14:paraId="1A066D8E" w14:textId="77777777" w:rsidR="001C0296" w:rsidRDefault="001C0296" w:rsidP="001C0296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16" w:name="_Ref114500673"/>
      <w:bookmarkStart w:id="17" w:name="_Ref54013899"/>
      <w:bookmarkEnd w:id="16"/>
      <w:r w:rsidRPr="00FD51CE">
        <w:t>RP-223534</w:t>
      </w:r>
      <w:r w:rsidRPr="00FF6B64">
        <w:t xml:space="preserve">, </w:t>
      </w:r>
      <w:bookmarkEnd w:id="17"/>
      <w:r w:rsidRPr="001D7FDE">
        <w:t>NR NTN (Non-Terrestrial Networks) enhancements</w:t>
      </w:r>
      <w:r>
        <w:t>, Thales</w:t>
      </w:r>
    </w:p>
    <w:p w14:paraId="5C3E8A85" w14:textId="77777777" w:rsidR="001934BB" w:rsidRDefault="001934BB" w:rsidP="001934BB">
      <w:pPr>
        <w:ind w:right="-22"/>
      </w:pPr>
    </w:p>
    <w:p w14:paraId="64B01ACB" w14:textId="77777777" w:rsidR="001934BB" w:rsidRDefault="001934BB" w:rsidP="001934BB">
      <w:pPr>
        <w:ind w:right="-22"/>
      </w:pPr>
    </w:p>
    <w:sectPr w:rsidR="001934B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90E4A" w14:textId="77777777" w:rsidR="005E14CC" w:rsidRDefault="005E14CC" w:rsidP="00001C9B">
      <w:pPr>
        <w:spacing w:after="0" w:line="240" w:lineRule="auto"/>
      </w:pPr>
      <w:r>
        <w:separator/>
      </w:r>
    </w:p>
  </w:endnote>
  <w:endnote w:type="continuationSeparator" w:id="0">
    <w:p w14:paraId="033CAA3B" w14:textId="77777777" w:rsidR="005E14CC" w:rsidRDefault="005E14CC" w:rsidP="00001C9B">
      <w:pPr>
        <w:spacing w:after="0" w:line="240" w:lineRule="auto"/>
      </w:pPr>
      <w:r>
        <w:continuationSeparator/>
      </w:r>
    </w:p>
  </w:endnote>
  <w:endnote w:type="continuationNotice" w:id="1">
    <w:p w14:paraId="4C15D5AD" w14:textId="77777777" w:rsidR="005E14CC" w:rsidRDefault="005E14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EE9D3" w14:textId="77777777" w:rsidR="005E14CC" w:rsidRDefault="005E14CC" w:rsidP="00001C9B">
      <w:pPr>
        <w:spacing w:after="0" w:line="240" w:lineRule="auto"/>
      </w:pPr>
      <w:r>
        <w:separator/>
      </w:r>
    </w:p>
  </w:footnote>
  <w:footnote w:type="continuationSeparator" w:id="0">
    <w:p w14:paraId="0218EDB5" w14:textId="77777777" w:rsidR="005E14CC" w:rsidRDefault="005E14CC" w:rsidP="00001C9B">
      <w:pPr>
        <w:spacing w:after="0" w:line="240" w:lineRule="auto"/>
      </w:pPr>
      <w:r>
        <w:continuationSeparator/>
      </w:r>
    </w:p>
  </w:footnote>
  <w:footnote w:type="continuationNotice" w:id="1">
    <w:p w14:paraId="3FEEF62E" w14:textId="77777777" w:rsidR="005E14CC" w:rsidRDefault="005E14C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358F0"/>
    <w:multiLevelType w:val="hybridMultilevel"/>
    <w:tmpl w:val="53009D4C"/>
    <w:lvl w:ilvl="0" w:tplc="0E5C23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C009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0A1E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CA1A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E27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E05C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4410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EE55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460A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E2859"/>
    <w:multiLevelType w:val="hybridMultilevel"/>
    <w:tmpl w:val="156C2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95E98"/>
    <w:multiLevelType w:val="hybridMultilevel"/>
    <w:tmpl w:val="7B42F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D524F"/>
    <w:multiLevelType w:val="hybridMultilevel"/>
    <w:tmpl w:val="EB34A9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BB34F7"/>
    <w:multiLevelType w:val="hybridMultilevel"/>
    <w:tmpl w:val="2C7E4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8230A7"/>
    <w:multiLevelType w:val="hybridMultilevel"/>
    <w:tmpl w:val="6CA208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67AA3"/>
    <w:multiLevelType w:val="hybridMultilevel"/>
    <w:tmpl w:val="3F783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51081EA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940B79"/>
    <w:multiLevelType w:val="hybridMultilevel"/>
    <w:tmpl w:val="83861F7E"/>
    <w:lvl w:ilvl="0" w:tplc="ADFE6A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F025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5AFA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0285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F839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C693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0C0B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FC83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1CF7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03C7ED3"/>
    <w:multiLevelType w:val="hybridMultilevel"/>
    <w:tmpl w:val="8D1AB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5A6010"/>
    <w:multiLevelType w:val="hybridMultilevel"/>
    <w:tmpl w:val="16588798"/>
    <w:lvl w:ilvl="0" w:tplc="6CB24F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B494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420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1404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889B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5E7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FC76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882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D29A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6"/>
  </w:num>
  <w:num w:numId="4" w16cid:durableId="517735681">
    <w:abstractNumId w:val="6"/>
  </w:num>
  <w:num w:numId="5" w16cid:durableId="1142041724">
    <w:abstractNumId w:val="21"/>
  </w:num>
  <w:num w:numId="6" w16cid:durableId="80681869">
    <w:abstractNumId w:val="14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5"/>
  </w:num>
  <w:num w:numId="16" w16cid:durableId="516113510">
    <w:abstractNumId w:val="5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2"/>
  </w:num>
  <w:num w:numId="21" w16cid:durableId="1659071369">
    <w:abstractNumId w:val="17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661154510">
    <w:abstractNumId w:val="4"/>
  </w:num>
  <w:num w:numId="28" w16cid:durableId="2124037807">
    <w:abstractNumId w:val="26"/>
  </w:num>
  <w:num w:numId="29" w16cid:durableId="2052608810">
    <w:abstractNumId w:val="23"/>
  </w:num>
  <w:num w:numId="30" w16cid:durableId="304354281">
    <w:abstractNumId w:val="20"/>
  </w:num>
  <w:num w:numId="31" w16cid:durableId="136840271">
    <w:abstractNumId w:val="8"/>
  </w:num>
  <w:num w:numId="32" w16cid:durableId="1583295858">
    <w:abstractNumId w:val="10"/>
  </w:num>
  <w:num w:numId="33" w16cid:durableId="45836843">
    <w:abstractNumId w:val="13"/>
  </w:num>
  <w:num w:numId="34" w16cid:durableId="1002047310">
    <w:abstractNumId w:val="18"/>
  </w:num>
  <w:num w:numId="35" w16cid:durableId="806355872">
    <w:abstractNumId w:val="2"/>
  </w:num>
  <w:num w:numId="36" w16cid:durableId="899175062">
    <w:abstractNumId w:val="22"/>
  </w:num>
  <w:num w:numId="37" w16cid:durableId="2075464845">
    <w:abstractNumId w:val="24"/>
  </w:num>
  <w:num w:numId="38" w16cid:durableId="1787039817">
    <w:abstractNumId w:val="9"/>
  </w:num>
  <w:num w:numId="39" w16cid:durableId="3629003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8141A"/>
    <w:rsid w:val="00001C9B"/>
    <w:rsid w:val="000040DC"/>
    <w:rsid w:val="00011784"/>
    <w:rsid w:val="00012CE7"/>
    <w:rsid w:val="000151EF"/>
    <w:rsid w:val="000239F5"/>
    <w:rsid w:val="00025C10"/>
    <w:rsid w:val="00025D3F"/>
    <w:rsid w:val="00036ACD"/>
    <w:rsid w:val="00041B56"/>
    <w:rsid w:val="00072FC3"/>
    <w:rsid w:val="00080D2C"/>
    <w:rsid w:val="0008612A"/>
    <w:rsid w:val="00090E18"/>
    <w:rsid w:val="00094903"/>
    <w:rsid w:val="000A10BC"/>
    <w:rsid w:val="000A57C1"/>
    <w:rsid w:val="000B0056"/>
    <w:rsid w:val="000C3C7B"/>
    <w:rsid w:val="000C511F"/>
    <w:rsid w:val="000D0F93"/>
    <w:rsid w:val="00106416"/>
    <w:rsid w:val="00110481"/>
    <w:rsid w:val="001127C9"/>
    <w:rsid w:val="00114498"/>
    <w:rsid w:val="00115B88"/>
    <w:rsid w:val="0012611D"/>
    <w:rsid w:val="00132F6A"/>
    <w:rsid w:val="00133913"/>
    <w:rsid w:val="00140221"/>
    <w:rsid w:val="00141817"/>
    <w:rsid w:val="001642FC"/>
    <w:rsid w:val="0016496B"/>
    <w:rsid w:val="001743E2"/>
    <w:rsid w:val="001745F8"/>
    <w:rsid w:val="001838CF"/>
    <w:rsid w:val="0018428F"/>
    <w:rsid w:val="001868EE"/>
    <w:rsid w:val="001934BB"/>
    <w:rsid w:val="001A3BA4"/>
    <w:rsid w:val="001A6D1F"/>
    <w:rsid w:val="001C0296"/>
    <w:rsid w:val="001D2282"/>
    <w:rsid w:val="001D4AD9"/>
    <w:rsid w:val="001E30F6"/>
    <w:rsid w:val="001E7201"/>
    <w:rsid w:val="001F75E6"/>
    <w:rsid w:val="00204021"/>
    <w:rsid w:val="00217EE5"/>
    <w:rsid w:val="002264D7"/>
    <w:rsid w:val="00227031"/>
    <w:rsid w:val="00235F5C"/>
    <w:rsid w:val="002372C8"/>
    <w:rsid w:val="00244745"/>
    <w:rsid w:val="00257FA3"/>
    <w:rsid w:val="00275C92"/>
    <w:rsid w:val="00277B56"/>
    <w:rsid w:val="00280B89"/>
    <w:rsid w:val="002864C5"/>
    <w:rsid w:val="002A0075"/>
    <w:rsid w:val="002A19F5"/>
    <w:rsid w:val="002B4922"/>
    <w:rsid w:val="002C0EEC"/>
    <w:rsid w:val="002C22C3"/>
    <w:rsid w:val="002C2D19"/>
    <w:rsid w:val="002D10FA"/>
    <w:rsid w:val="002D2024"/>
    <w:rsid w:val="002D4C55"/>
    <w:rsid w:val="002E5AC7"/>
    <w:rsid w:val="002E6DED"/>
    <w:rsid w:val="00300956"/>
    <w:rsid w:val="0030455F"/>
    <w:rsid w:val="00305820"/>
    <w:rsid w:val="00317187"/>
    <w:rsid w:val="00320144"/>
    <w:rsid w:val="003230DC"/>
    <w:rsid w:val="0032499A"/>
    <w:rsid w:val="003341F7"/>
    <w:rsid w:val="00347FEC"/>
    <w:rsid w:val="003509DF"/>
    <w:rsid w:val="00356F45"/>
    <w:rsid w:val="00363F7D"/>
    <w:rsid w:val="00366B74"/>
    <w:rsid w:val="00386A83"/>
    <w:rsid w:val="00392683"/>
    <w:rsid w:val="0039406B"/>
    <w:rsid w:val="00394E9E"/>
    <w:rsid w:val="00395F6A"/>
    <w:rsid w:val="003A111C"/>
    <w:rsid w:val="003A710A"/>
    <w:rsid w:val="003B659E"/>
    <w:rsid w:val="003B6A49"/>
    <w:rsid w:val="003C275E"/>
    <w:rsid w:val="003C37D6"/>
    <w:rsid w:val="003C4FDE"/>
    <w:rsid w:val="003D2041"/>
    <w:rsid w:val="003E58DF"/>
    <w:rsid w:val="003F2161"/>
    <w:rsid w:val="00404C4C"/>
    <w:rsid w:val="00411EC7"/>
    <w:rsid w:val="0041423F"/>
    <w:rsid w:val="00414F81"/>
    <w:rsid w:val="0043680A"/>
    <w:rsid w:val="00436A0F"/>
    <w:rsid w:val="00437150"/>
    <w:rsid w:val="0043750A"/>
    <w:rsid w:val="00441669"/>
    <w:rsid w:val="00441EA9"/>
    <w:rsid w:val="00447577"/>
    <w:rsid w:val="00460BED"/>
    <w:rsid w:val="004732E9"/>
    <w:rsid w:val="00475856"/>
    <w:rsid w:val="0048211A"/>
    <w:rsid w:val="004854BB"/>
    <w:rsid w:val="00494493"/>
    <w:rsid w:val="00496606"/>
    <w:rsid w:val="004C3486"/>
    <w:rsid w:val="004D24FB"/>
    <w:rsid w:val="004E18C0"/>
    <w:rsid w:val="004E5E66"/>
    <w:rsid w:val="004E7ADB"/>
    <w:rsid w:val="00503B4D"/>
    <w:rsid w:val="00504EE9"/>
    <w:rsid w:val="0051476D"/>
    <w:rsid w:val="00521576"/>
    <w:rsid w:val="00522897"/>
    <w:rsid w:val="005250E6"/>
    <w:rsid w:val="00525A8B"/>
    <w:rsid w:val="005319C4"/>
    <w:rsid w:val="00531FC6"/>
    <w:rsid w:val="00542357"/>
    <w:rsid w:val="00542D23"/>
    <w:rsid w:val="0054442C"/>
    <w:rsid w:val="00550285"/>
    <w:rsid w:val="00551E90"/>
    <w:rsid w:val="00562492"/>
    <w:rsid w:val="0056617A"/>
    <w:rsid w:val="005705A0"/>
    <w:rsid w:val="00572A20"/>
    <w:rsid w:val="005836F8"/>
    <w:rsid w:val="005918FA"/>
    <w:rsid w:val="00592A86"/>
    <w:rsid w:val="00593318"/>
    <w:rsid w:val="005B3D49"/>
    <w:rsid w:val="005B4801"/>
    <w:rsid w:val="005C23A4"/>
    <w:rsid w:val="005D1CDF"/>
    <w:rsid w:val="005D2BB7"/>
    <w:rsid w:val="005E14CC"/>
    <w:rsid w:val="005E61A8"/>
    <w:rsid w:val="005F6419"/>
    <w:rsid w:val="005F6DDC"/>
    <w:rsid w:val="0060543D"/>
    <w:rsid w:val="006104DD"/>
    <w:rsid w:val="006130B5"/>
    <w:rsid w:val="00614F27"/>
    <w:rsid w:val="00617400"/>
    <w:rsid w:val="00632D29"/>
    <w:rsid w:val="00657BA2"/>
    <w:rsid w:val="00664950"/>
    <w:rsid w:val="0067119A"/>
    <w:rsid w:val="00677A4B"/>
    <w:rsid w:val="00681596"/>
    <w:rsid w:val="00683220"/>
    <w:rsid w:val="006837A8"/>
    <w:rsid w:val="00684861"/>
    <w:rsid w:val="00687FA0"/>
    <w:rsid w:val="00690D0C"/>
    <w:rsid w:val="00696E96"/>
    <w:rsid w:val="006A07D7"/>
    <w:rsid w:val="006A3C11"/>
    <w:rsid w:val="006B7010"/>
    <w:rsid w:val="006C0328"/>
    <w:rsid w:val="006C3095"/>
    <w:rsid w:val="006D069D"/>
    <w:rsid w:val="006D728A"/>
    <w:rsid w:val="006E1151"/>
    <w:rsid w:val="006E6311"/>
    <w:rsid w:val="007108A0"/>
    <w:rsid w:val="00710BE6"/>
    <w:rsid w:val="007145FF"/>
    <w:rsid w:val="00715B2A"/>
    <w:rsid w:val="007450F1"/>
    <w:rsid w:val="00751515"/>
    <w:rsid w:val="00753B1D"/>
    <w:rsid w:val="007606F1"/>
    <w:rsid w:val="007626B7"/>
    <w:rsid w:val="007725CB"/>
    <w:rsid w:val="00775489"/>
    <w:rsid w:val="00780E81"/>
    <w:rsid w:val="0078212B"/>
    <w:rsid w:val="00782724"/>
    <w:rsid w:val="00784DF6"/>
    <w:rsid w:val="00785232"/>
    <w:rsid w:val="00792B58"/>
    <w:rsid w:val="00792B6D"/>
    <w:rsid w:val="007B186C"/>
    <w:rsid w:val="007B5AF7"/>
    <w:rsid w:val="007C1696"/>
    <w:rsid w:val="007C3ED0"/>
    <w:rsid w:val="007C5971"/>
    <w:rsid w:val="007D1B67"/>
    <w:rsid w:val="007E5785"/>
    <w:rsid w:val="007F2916"/>
    <w:rsid w:val="007F54B9"/>
    <w:rsid w:val="0080081C"/>
    <w:rsid w:val="00806A76"/>
    <w:rsid w:val="008074AB"/>
    <w:rsid w:val="00811C9D"/>
    <w:rsid w:val="00816C80"/>
    <w:rsid w:val="00824B38"/>
    <w:rsid w:val="008310FA"/>
    <w:rsid w:val="00841BCD"/>
    <w:rsid w:val="00847264"/>
    <w:rsid w:val="00851A8E"/>
    <w:rsid w:val="0085365B"/>
    <w:rsid w:val="008826C1"/>
    <w:rsid w:val="00883DFD"/>
    <w:rsid w:val="008945FA"/>
    <w:rsid w:val="008979C8"/>
    <w:rsid w:val="008A1BF7"/>
    <w:rsid w:val="008A5B0E"/>
    <w:rsid w:val="008B0961"/>
    <w:rsid w:val="008B0BEC"/>
    <w:rsid w:val="008C39F7"/>
    <w:rsid w:val="008C536B"/>
    <w:rsid w:val="008D1814"/>
    <w:rsid w:val="008D7ABE"/>
    <w:rsid w:val="008E071E"/>
    <w:rsid w:val="008E372A"/>
    <w:rsid w:val="008E7E55"/>
    <w:rsid w:val="008F3CCA"/>
    <w:rsid w:val="008F75A7"/>
    <w:rsid w:val="0090091A"/>
    <w:rsid w:val="009042BD"/>
    <w:rsid w:val="00904FE4"/>
    <w:rsid w:val="00911E45"/>
    <w:rsid w:val="00926253"/>
    <w:rsid w:val="00936159"/>
    <w:rsid w:val="00977E1D"/>
    <w:rsid w:val="00983A6B"/>
    <w:rsid w:val="009A2477"/>
    <w:rsid w:val="009B0573"/>
    <w:rsid w:val="009B7B4B"/>
    <w:rsid w:val="009B7C21"/>
    <w:rsid w:val="009C2E67"/>
    <w:rsid w:val="009C2EEA"/>
    <w:rsid w:val="009C6E9D"/>
    <w:rsid w:val="009C7A94"/>
    <w:rsid w:val="009F2CA6"/>
    <w:rsid w:val="00A04992"/>
    <w:rsid w:val="00A07553"/>
    <w:rsid w:val="00A147AA"/>
    <w:rsid w:val="00A1503B"/>
    <w:rsid w:val="00A1585A"/>
    <w:rsid w:val="00A21D71"/>
    <w:rsid w:val="00A22B78"/>
    <w:rsid w:val="00A25AE5"/>
    <w:rsid w:val="00A3155A"/>
    <w:rsid w:val="00A37002"/>
    <w:rsid w:val="00A4355E"/>
    <w:rsid w:val="00A520D9"/>
    <w:rsid w:val="00A92BCD"/>
    <w:rsid w:val="00AA1B0E"/>
    <w:rsid w:val="00AA47B6"/>
    <w:rsid w:val="00AB6452"/>
    <w:rsid w:val="00AB6F6F"/>
    <w:rsid w:val="00AC163B"/>
    <w:rsid w:val="00AC5861"/>
    <w:rsid w:val="00AC5CA7"/>
    <w:rsid w:val="00AC6058"/>
    <w:rsid w:val="00AD0082"/>
    <w:rsid w:val="00AE2BA5"/>
    <w:rsid w:val="00AE56B1"/>
    <w:rsid w:val="00AE6D09"/>
    <w:rsid w:val="00AF7A7C"/>
    <w:rsid w:val="00B02070"/>
    <w:rsid w:val="00B129FD"/>
    <w:rsid w:val="00B2039E"/>
    <w:rsid w:val="00B31208"/>
    <w:rsid w:val="00B3156B"/>
    <w:rsid w:val="00B408B6"/>
    <w:rsid w:val="00B54013"/>
    <w:rsid w:val="00B542DA"/>
    <w:rsid w:val="00B57F9B"/>
    <w:rsid w:val="00B73862"/>
    <w:rsid w:val="00B73F43"/>
    <w:rsid w:val="00B75BBF"/>
    <w:rsid w:val="00BA3AA4"/>
    <w:rsid w:val="00BA6B66"/>
    <w:rsid w:val="00BA6E48"/>
    <w:rsid w:val="00BB2FD3"/>
    <w:rsid w:val="00BB3939"/>
    <w:rsid w:val="00BC2BEB"/>
    <w:rsid w:val="00BD4D12"/>
    <w:rsid w:val="00BE0AF6"/>
    <w:rsid w:val="00BE1F03"/>
    <w:rsid w:val="00BE58A7"/>
    <w:rsid w:val="00BF2218"/>
    <w:rsid w:val="00BF5CE9"/>
    <w:rsid w:val="00C0426B"/>
    <w:rsid w:val="00C045DF"/>
    <w:rsid w:val="00C07B05"/>
    <w:rsid w:val="00C20473"/>
    <w:rsid w:val="00C26D43"/>
    <w:rsid w:val="00C4466E"/>
    <w:rsid w:val="00C44958"/>
    <w:rsid w:val="00C46548"/>
    <w:rsid w:val="00C574D5"/>
    <w:rsid w:val="00C72DAB"/>
    <w:rsid w:val="00C73F32"/>
    <w:rsid w:val="00C751B9"/>
    <w:rsid w:val="00C77803"/>
    <w:rsid w:val="00C85643"/>
    <w:rsid w:val="00C87462"/>
    <w:rsid w:val="00CA180C"/>
    <w:rsid w:val="00CB22B2"/>
    <w:rsid w:val="00CC3EE2"/>
    <w:rsid w:val="00CD7492"/>
    <w:rsid w:val="00CD7EDB"/>
    <w:rsid w:val="00CE2703"/>
    <w:rsid w:val="00CE3A6B"/>
    <w:rsid w:val="00CE5D1F"/>
    <w:rsid w:val="00CF0BE2"/>
    <w:rsid w:val="00CF7E20"/>
    <w:rsid w:val="00D00211"/>
    <w:rsid w:val="00D03BD3"/>
    <w:rsid w:val="00D06309"/>
    <w:rsid w:val="00D24E42"/>
    <w:rsid w:val="00D265E8"/>
    <w:rsid w:val="00D351EA"/>
    <w:rsid w:val="00D3597A"/>
    <w:rsid w:val="00D40288"/>
    <w:rsid w:val="00D43403"/>
    <w:rsid w:val="00D5270B"/>
    <w:rsid w:val="00D62E71"/>
    <w:rsid w:val="00D64192"/>
    <w:rsid w:val="00D6430D"/>
    <w:rsid w:val="00D66188"/>
    <w:rsid w:val="00D7027C"/>
    <w:rsid w:val="00D731F6"/>
    <w:rsid w:val="00D740CA"/>
    <w:rsid w:val="00D85728"/>
    <w:rsid w:val="00D8631A"/>
    <w:rsid w:val="00D863D0"/>
    <w:rsid w:val="00D95481"/>
    <w:rsid w:val="00D96F39"/>
    <w:rsid w:val="00D97975"/>
    <w:rsid w:val="00D97D04"/>
    <w:rsid w:val="00DC7A13"/>
    <w:rsid w:val="00DF2997"/>
    <w:rsid w:val="00E10BC4"/>
    <w:rsid w:val="00E1415D"/>
    <w:rsid w:val="00E20FA2"/>
    <w:rsid w:val="00E23321"/>
    <w:rsid w:val="00E24EAB"/>
    <w:rsid w:val="00E323E9"/>
    <w:rsid w:val="00E3323E"/>
    <w:rsid w:val="00E34018"/>
    <w:rsid w:val="00E3417B"/>
    <w:rsid w:val="00E43799"/>
    <w:rsid w:val="00E437D2"/>
    <w:rsid w:val="00E44901"/>
    <w:rsid w:val="00E55751"/>
    <w:rsid w:val="00E66BC2"/>
    <w:rsid w:val="00E679AC"/>
    <w:rsid w:val="00E87EA0"/>
    <w:rsid w:val="00EA2311"/>
    <w:rsid w:val="00EC1F58"/>
    <w:rsid w:val="00EC3698"/>
    <w:rsid w:val="00EC3E77"/>
    <w:rsid w:val="00EC7BC3"/>
    <w:rsid w:val="00ED1787"/>
    <w:rsid w:val="00ED1D3C"/>
    <w:rsid w:val="00ED7600"/>
    <w:rsid w:val="00EF6073"/>
    <w:rsid w:val="00EF698B"/>
    <w:rsid w:val="00EF76B6"/>
    <w:rsid w:val="00F1362C"/>
    <w:rsid w:val="00F35C29"/>
    <w:rsid w:val="00F414F1"/>
    <w:rsid w:val="00F47795"/>
    <w:rsid w:val="00F508B8"/>
    <w:rsid w:val="00F5307C"/>
    <w:rsid w:val="00F658D0"/>
    <w:rsid w:val="00F72CB1"/>
    <w:rsid w:val="00F8141A"/>
    <w:rsid w:val="00F8215E"/>
    <w:rsid w:val="00F824F5"/>
    <w:rsid w:val="00F84C4F"/>
    <w:rsid w:val="00F90FAB"/>
    <w:rsid w:val="00F9374D"/>
    <w:rsid w:val="00FA513E"/>
    <w:rsid w:val="00FC29B9"/>
    <w:rsid w:val="00FC6FD3"/>
    <w:rsid w:val="00FE2AA4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D5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70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Lista1 Char,列出段落1 Char,中等深浅网格 1 - 着色 21 Char,列表段落1 Char,—ño’i—Ž Char,¥¡¡¡¡ì¬º¥¹¥È¶ÎÂä Char,ÁÐ³ö¶ÎÂä Char,¥ê¥¹¥È¶ÎÂä Char,목록 단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D8631A"/>
    <w:pPr>
      <w:tabs>
        <w:tab w:val="right" w:leader="dot" w:pos="9617"/>
      </w:tabs>
      <w:spacing w:after="100"/>
    </w:pPr>
    <w:rPr>
      <w:b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ahnschrift Light" w:hAnsi="Bahnschrift 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rsid w:val="00A07553"/>
    <w:rPr>
      <w:b/>
    </w:rPr>
  </w:style>
  <w:style w:type="paragraph" w:customStyle="1" w:styleId="TAC">
    <w:name w:val="TAC"/>
    <w:basedOn w:val="Normal"/>
    <w:link w:val="TACChar"/>
    <w:rsid w:val="00A0755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A0755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A07553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A0755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A07553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rsid w:val="00A07553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A07553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C856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64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856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643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1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RBI5PAMIO524-1616901215-9649</_dlc_DocId>
    <HideFromDelve xmlns="71c5aaf6-e6ce-465b-b873-5148d2a4c105">false</HideFromDelve>
    <_dlc_DocIdUrl xmlns="71c5aaf6-e6ce-465b-b873-5148d2a4c105">
      <Url>https://nokia.sharepoint.com/sites/gxp/_layouts/15/DocIdRedir.aspx?ID=RBI5PAMIO524-1616901215-9649</Url>
      <Description>RBI5PAMIO524-1616901215-9649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494FB337-FC6E-44F7-9216-F15B37B12D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D3E07A-EC14-413D-AA04-54A9BC316212}"/>
</file>

<file path=customXml/itemProps3.xml><?xml version="1.0" encoding="utf-8"?>
<ds:datastoreItem xmlns:ds="http://schemas.openxmlformats.org/officeDocument/2006/customXml" ds:itemID="{87BCA3E5-6CB5-4651-9BCB-0A7DEFA3322C}"/>
</file>

<file path=customXml/itemProps4.xml><?xml version="1.0" encoding="utf-8"?>
<ds:datastoreItem xmlns:ds="http://schemas.openxmlformats.org/officeDocument/2006/customXml" ds:itemID="{0E7C9F61-9B79-47D3-A965-DFCF3EF5297E}"/>
</file>

<file path=customXml/itemProps5.xml><?xml version="1.0" encoding="utf-8"?>
<ds:datastoreItem xmlns:ds="http://schemas.openxmlformats.org/officeDocument/2006/customXml" ds:itemID="{D1DCFB6B-4789-41AD-BA63-462F13CDEA76}"/>
</file>

<file path=customXml/itemProps6.xml><?xml version="1.0" encoding="utf-8"?>
<ds:datastoreItem xmlns:ds="http://schemas.openxmlformats.org/officeDocument/2006/customXml" ds:itemID="{B66275BA-E35A-4674-AC70-FF1C04BA8245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653</Words>
  <Characters>3725</Characters>
  <Application>Microsoft Office Word</Application>
  <DocSecurity>0</DocSecurity>
  <Lines>31</Lines>
  <Paragraphs>8</Paragraphs>
  <ScaleCrop>false</ScaleCrop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2024-02-19T21:13:00Z</dcterms:created>
  <dcterms:modified xsi:type="dcterms:W3CDTF">2024-02-19T21:14:00Z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ae277566-9f65-41cb-bd4f-6697de55ef1c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MSIP_Label_b1aa2129-79ec-42c0-bfac-e5b7a0374572_Method">
    <vt:lpwstr>Privileged</vt:lpwstr>
  </property>
</Properties>
</file>